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E0" w:rsidRPr="00BB44FB" w:rsidRDefault="00CA54E0" w:rsidP="00CA54E0">
      <w:pPr>
        <w:pStyle w:val="Balk4"/>
        <w:tabs>
          <w:tab w:val="clear" w:pos="720"/>
        </w:tabs>
        <w:ind w:left="0" w:firstLine="709"/>
        <w:rPr>
          <w:rFonts w:ascii="Arial" w:hAnsi="Arial" w:cs="Arial"/>
          <w:sz w:val="20"/>
          <w:szCs w:val="20"/>
        </w:rPr>
      </w:pPr>
      <w:bookmarkStart w:id="0" w:name="_Toc489360696"/>
      <w:bookmarkStart w:id="1" w:name="_Toc525764161"/>
      <w:r w:rsidRPr="00BB44FB">
        <w:rPr>
          <w:rFonts w:ascii="Arial" w:hAnsi="Arial" w:cs="Arial"/>
          <w:sz w:val="20"/>
          <w:szCs w:val="20"/>
          <w:highlight w:val="yellow"/>
        </w:rPr>
        <w:t xml:space="preserve">Soru 18. </w:t>
      </w:r>
      <w:r w:rsidRPr="00BB44FB">
        <w:rPr>
          <w:rFonts w:ascii="Arial" w:hAnsi="Arial" w:cs="Arial"/>
          <w:sz w:val="20"/>
          <w:szCs w:val="20"/>
        </w:rPr>
        <w:t xml:space="preserve">Döner sermaye işletmesi bütçesinden Üniversitenin ortak olduğu veya kurduğu </w:t>
      </w:r>
      <w:proofErr w:type="spellStart"/>
      <w:r w:rsidRPr="00BB44FB">
        <w:rPr>
          <w:rFonts w:ascii="Arial" w:hAnsi="Arial" w:cs="Arial"/>
          <w:sz w:val="20"/>
          <w:szCs w:val="20"/>
        </w:rPr>
        <w:t>Tekno</w:t>
      </w:r>
      <w:proofErr w:type="spellEnd"/>
      <w:r w:rsidRPr="00BB44FB">
        <w:rPr>
          <w:rFonts w:ascii="Arial" w:hAnsi="Arial" w:cs="Arial"/>
          <w:sz w:val="20"/>
          <w:szCs w:val="20"/>
        </w:rPr>
        <w:t>-Kent</w:t>
      </w:r>
      <w:r>
        <w:rPr>
          <w:rFonts w:ascii="Arial" w:hAnsi="Arial" w:cs="Arial"/>
          <w:sz w:val="20"/>
          <w:szCs w:val="20"/>
        </w:rPr>
        <w:t>/Teknoloji Transfer Ofisi</w:t>
      </w:r>
      <w:r w:rsidRPr="00BB44FB">
        <w:rPr>
          <w:rFonts w:ascii="Arial" w:hAnsi="Arial" w:cs="Arial"/>
          <w:sz w:val="20"/>
          <w:szCs w:val="20"/>
        </w:rPr>
        <w:t xml:space="preserve"> şirketine karşılıksız kaynak aktarılabilir mi? Aktarılabilir ise yapılması gereken işlemler nelerdir?</w:t>
      </w:r>
      <w:bookmarkEnd w:id="0"/>
      <w:bookmarkEnd w:id="1"/>
      <w:r w:rsidRPr="00BB44FB">
        <w:rPr>
          <w:rFonts w:ascii="Arial" w:hAnsi="Arial" w:cs="Arial"/>
          <w:sz w:val="20"/>
          <w:szCs w:val="20"/>
        </w:rPr>
        <w:t xml:space="preserve"> </w:t>
      </w:r>
    </w:p>
    <w:p w:rsidR="00CA54E0" w:rsidRPr="00BB44FB" w:rsidRDefault="00CA54E0" w:rsidP="00CA54E0">
      <w:pPr>
        <w:rPr>
          <w:rFonts w:ascii="Arial" w:hAnsi="Arial" w:cs="Arial"/>
          <w:sz w:val="20"/>
          <w:szCs w:val="20"/>
          <w:lang w:eastAsia="tr-TR" w:bidi="ar-SA"/>
        </w:rPr>
      </w:pPr>
      <w:bookmarkStart w:id="2" w:name="_GoBack"/>
      <w:bookmarkEnd w:id="2"/>
    </w:p>
    <w:p w:rsidR="00EB62B4" w:rsidRDefault="00CA54E0" w:rsidP="00CA54E0">
      <w:pPr>
        <w:ind w:firstLine="708"/>
        <w:jc w:val="both"/>
        <w:rPr>
          <w:rFonts w:ascii="Arial" w:hAnsi="Arial" w:cs="Arial"/>
          <w:sz w:val="20"/>
          <w:szCs w:val="20"/>
        </w:rPr>
      </w:pPr>
      <w:r w:rsidRPr="00BB44FB">
        <w:rPr>
          <w:rFonts w:ascii="Arial" w:hAnsi="Arial" w:cs="Arial"/>
          <w:b/>
          <w:sz w:val="20"/>
          <w:szCs w:val="20"/>
        </w:rPr>
        <w:t>Cevap 18</w:t>
      </w:r>
      <w:r w:rsidRPr="00BB44FB">
        <w:rPr>
          <w:rFonts w:ascii="Arial" w:hAnsi="Arial" w:cs="Arial"/>
          <w:sz w:val="20"/>
          <w:szCs w:val="20"/>
        </w:rPr>
        <w:t>.  Üniversite ve Yüksek Teknoloji Enstitüleri</w:t>
      </w:r>
      <w:r w:rsidR="00EB62B4">
        <w:rPr>
          <w:rFonts w:ascii="Arial" w:hAnsi="Arial" w:cs="Arial"/>
          <w:sz w:val="20"/>
          <w:szCs w:val="20"/>
        </w:rPr>
        <w:t>;</w:t>
      </w:r>
      <w:r w:rsidRPr="00BB44FB">
        <w:rPr>
          <w:rFonts w:ascii="Arial" w:hAnsi="Arial" w:cs="Arial"/>
          <w:sz w:val="20"/>
          <w:szCs w:val="20"/>
        </w:rPr>
        <w:t xml:space="preserve"> </w:t>
      </w:r>
    </w:p>
    <w:p w:rsidR="00CA54E0" w:rsidRDefault="00CA54E0" w:rsidP="00EB62B4">
      <w:pPr>
        <w:pStyle w:val="ListeParagraf"/>
        <w:numPr>
          <w:ilvl w:val="0"/>
          <w:numId w:val="3"/>
        </w:numPr>
        <w:jc w:val="both"/>
        <w:rPr>
          <w:rFonts w:ascii="Arial" w:hAnsi="Arial" w:cs="Arial"/>
          <w:i/>
          <w:sz w:val="20"/>
          <w:szCs w:val="20"/>
        </w:rPr>
      </w:pPr>
      <w:proofErr w:type="spellStart"/>
      <w:r w:rsidRPr="00EB62B4">
        <w:rPr>
          <w:rFonts w:ascii="Arial" w:hAnsi="Arial" w:cs="Arial"/>
          <w:sz w:val="20"/>
          <w:szCs w:val="20"/>
        </w:rPr>
        <w:t>Tekno</w:t>
      </w:r>
      <w:proofErr w:type="spellEnd"/>
      <w:r w:rsidRPr="00EB62B4">
        <w:rPr>
          <w:rFonts w:ascii="Arial" w:hAnsi="Arial" w:cs="Arial"/>
          <w:sz w:val="20"/>
          <w:szCs w:val="20"/>
        </w:rPr>
        <w:t xml:space="preserve">-Kent bölgesinde kurulacak olan şirketlere özel bütçeden kaynak aktarma suretiyle şirket ortaklığı kuramazlar. </w:t>
      </w:r>
      <w:r w:rsidRPr="00EB62B4">
        <w:rPr>
          <w:rFonts w:ascii="Arial" w:hAnsi="Arial" w:cs="Arial"/>
          <w:i/>
          <w:sz w:val="20"/>
          <w:szCs w:val="20"/>
        </w:rPr>
        <w:t xml:space="preserve">“Yönetici şirket ortaklarından; üniversiteler, yüksek teknoloji enstitüleri ya da kamu AR-GE merkez veya enstitüleri, </w:t>
      </w:r>
      <w:r w:rsidRPr="00EB62B4">
        <w:rPr>
          <w:rFonts w:ascii="Arial" w:hAnsi="Arial" w:cs="Arial"/>
          <w:b/>
          <w:i/>
          <w:sz w:val="20"/>
          <w:szCs w:val="20"/>
          <w:u w:val="single"/>
        </w:rPr>
        <w:t>yönetici şirkete taahhüt ettikleri sermaye payını döner sermaye gelirlerinden ödeyebilir.</w:t>
      </w:r>
      <w:r w:rsidRPr="00EB62B4">
        <w:rPr>
          <w:rFonts w:ascii="Arial" w:hAnsi="Arial" w:cs="Arial"/>
          <w:i/>
          <w:sz w:val="20"/>
          <w:szCs w:val="20"/>
        </w:rPr>
        <w:t>”</w:t>
      </w:r>
      <w:r w:rsidRPr="00BB44FB">
        <w:rPr>
          <w:rStyle w:val="DipnotBavurusu"/>
          <w:rFonts w:ascii="Arial" w:hAnsi="Arial" w:cs="Arial"/>
          <w:i/>
          <w:sz w:val="20"/>
          <w:szCs w:val="20"/>
        </w:rPr>
        <w:footnoteReference w:id="1"/>
      </w:r>
      <w:r w:rsidRPr="00EB62B4">
        <w:rPr>
          <w:rFonts w:ascii="Arial" w:hAnsi="Arial" w:cs="Arial"/>
          <w:i/>
          <w:sz w:val="20"/>
          <w:szCs w:val="20"/>
        </w:rPr>
        <w:t xml:space="preserve"> </w:t>
      </w:r>
    </w:p>
    <w:p w:rsidR="00EB62B4" w:rsidRPr="00EB62B4" w:rsidRDefault="00EB62B4" w:rsidP="00EB62B4">
      <w:pPr>
        <w:pStyle w:val="ListeParagraf"/>
        <w:numPr>
          <w:ilvl w:val="0"/>
          <w:numId w:val="3"/>
        </w:numPr>
        <w:jc w:val="both"/>
        <w:rPr>
          <w:rFonts w:ascii="Arial" w:hAnsi="Arial" w:cs="Arial"/>
          <w:sz w:val="20"/>
          <w:szCs w:val="20"/>
        </w:rPr>
      </w:pPr>
      <w:r w:rsidRPr="00EB62B4">
        <w:rPr>
          <w:rFonts w:ascii="Arial" w:hAnsi="Arial" w:cs="Arial"/>
          <w:sz w:val="20"/>
          <w:szCs w:val="20"/>
        </w:rPr>
        <w:t xml:space="preserve">2547 sayılı Kanunun ek 33 üncü maddesi kapsamında </w:t>
      </w:r>
      <w:r>
        <w:rPr>
          <w:rFonts w:ascii="Arial" w:hAnsi="Arial" w:cs="Arial"/>
          <w:sz w:val="20"/>
          <w:szCs w:val="20"/>
        </w:rPr>
        <w:t>kurulacak olan teknoloji transfer ofisine kaynak aktarabilir.</w:t>
      </w:r>
    </w:p>
    <w:p w:rsidR="00CA54E0" w:rsidRPr="00BB44FB" w:rsidRDefault="00CA54E0" w:rsidP="00CA54E0">
      <w:pPr>
        <w:jc w:val="both"/>
        <w:rPr>
          <w:rFonts w:ascii="Arial" w:hAnsi="Arial" w:cs="Arial"/>
          <w:bCs/>
          <w:sz w:val="20"/>
          <w:szCs w:val="20"/>
        </w:rPr>
      </w:pPr>
      <w:r w:rsidRPr="00BB44FB">
        <w:rPr>
          <w:rFonts w:ascii="Arial" w:hAnsi="Arial" w:cs="Arial"/>
          <w:b/>
          <w:bCs/>
          <w:sz w:val="20"/>
          <w:szCs w:val="20"/>
        </w:rPr>
        <w:tab/>
      </w:r>
      <w:r w:rsidRPr="00BB44FB">
        <w:rPr>
          <w:rFonts w:ascii="Arial" w:hAnsi="Arial" w:cs="Arial"/>
          <w:bCs/>
          <w:sz w:val="20"/>
          <w:szCs w:val="20"/>
        </w:rPr>
        <w:t xml:space="preserve">Bu şekilde döner sermaye işletmesine ait bütçeden karşılanması mümkün olan kaynağın belirlenmesi ve aktarılmasında uyulacak olan </w:t>
      </w:r>
      <w:proofErr w:type="gramStart"/>
      <w:r w:rsidRPr="00BB44FB">
        <w:rPr>
          <w:rFonts w:ascii="Arial" w:hAnsi="Arial" w:cs="Arial"/>
          <w:bCs/>
          <w:sz w:val="20"/>
          <w:szCs w:val="20"/>
        </w:rPr>
        <w:t>prosedür</w:t>
      </w:r>
      <w:proofErr w:type="gramEnd"/>
      <w:r w:rsidRPr="00BB44FB">
        <w:rPr>
          <w:rFonts w:ascii="Arial" w:hAnsi="Arial" w:cs="Arial"/>
          <w:bCs/>
          <w:sz w:val="20"/>
          <w:szCs w:val="20"/>
        </w:rPr>
        <w:t xml:space="preserve"> ne olacaktır? Burada cevap verilmesi gereken soru budur.</w:t>
      </w:r>
    </w:p>
    <w:p w:rsidR="00CA54E0" w:rsidRDefault="00CA54E0" w:rsidP="00CA54E0">
      <w:pPr>
        <w:jc w:val="both"/>
        <w:rPr>
          <w:rFonts w:ascii="Arial" w:hAnsi="Arial" w:cs="Arial"/>
          <w:bCs/>
          <w:sz w:val="20"/>
          <w:szCs w:val="20"/>
        </w:rPr>
      </w:pPr>
      <w:r w:rsidRPr="00BB44FB">
        <w:rPr>
          <w:rFonts w:ascii="Arial" w:hAnsi="Arial" w:cs="Arial"/>
          <w:bCs/>
          <w:sz w:val="20"/>
          <w:szCs w:val="20"/>
        </w:rPr>
        <w:tab/>
        <w:t xml:space="preserve">2547 sayılı Yükseköğretim Kanununun 58 inci maddesi kapsamında kaynağın ayrılması, aktarılması ve muhasebeleştirilmesinde uyulması gereken birtakım hususlar aşağıda belirtilmiştir. Üniversite yönetiminin buna uygun olarak hareket etmesi gerekecektir. </w:t>
      </w:r>
    </w:p>
    <w:p w:rsidR="00CA54E0" w:rsidRPr="00BB44FB" w:rsidRDefault="00CA54E0" w:rsidP="00CA54E0">
      <w:pPr>
        <w:jc w:val="both"/>
        <w:rPr>
          <w:rFonts w:ascii="Arial" w:hAnsi="Arial" w:cs="Arial"/>
          <w:bCs/>
          <w:sz w:val="20"/>
          <w:szCs w:val="20"/>
        </w:rPr>
      </w:pPr>
    </w:p>
    <w:p w:rsidR="00CA54E0" w:rsidRPr="00BB44FB" w:rsidRDefault="00CA54E0" w:rsidP="00CA54E0">
      <w:pPr>
        <w:pStyle w:val="ListeParagraf"/>
        <w:numPr>
          <w:ilvl w:val="0"/>
          <w:numId w:val="2"/>
        </w:numPr>
        <w:spacing w:line="240" w:lineRule="auto"/>
        <w:ind w:left="0" w:firstLine="709"/>
        <w:jc w:val="both"/>
        <w:rPr>
          <w:rFonts w:ascii="Arial" w:hAnsi="Arial" w:cs="Arial"/>
          <w:b/>
          <w:bCs/>
          <w:sz w:val="20"/>
          <w:szCs w:val="20"/>
        </w:rPr>
      </w:pPr>
      <w:bookmarkStart w:id="3" w:name="_Toc404785183"/>
      <w:r w:rsidRPr="00BB44FB">
        <w:rPr>
          <w:rFonts w:ascii="Arial" w:hAnsi="Arial" w:cs="Arial"/>
          <w:b/>
          <w:bCs/>
          <w:sz w:val="20"/>
          <w:szCs w:val="20"/>
        </w:rPr>
        <w:t>Döner Sermaye İşletmesi Bütçesine Ödenek Konulması</w:t>
      </w:r>
      <w:bookmarkEnd w:id="3"/>
    </w:p>
    <w:p w:rsidR="00CA54E0" w:rsidRPr="00BB44FB" w:rsidRDefault="00CA54E0" w:rsidP="00CA54E0">
      <w:pPr>
        <w:ind w:firstLine="708"/>
        <w:jc w:val="both"/>
        <w:rPr>
          <w:rFonts w:ascii="Arial" w:hAnsi="Arial" w:cs="Arial"/>
          <w:i/>
          <w:sz w:val="20"/>
          <w:szCs w:val="20"/>
        </w:rPr>
      </w:pPr>
      <w:proofErr w:type="gramStart"/>
      <w:r w:rsidRPr="00BB44FB">
        <w:rPr>
          <w:rFonts w:ascii="Arial" w:hAnsi="Arial" w:cs="Arial"/>
          <w:sz w:val="20"/>
          <w:szCs w:val="20"/>
        </w:rPr>
        <w:t>2547 sayılı Kanunun 58/b Maddesinde “</w:t>
      </w:r>
      <w:r w:rsidRPr="00BB44FB">
        <w:rPr>
          <w:rFonts w:ascii="Arial" w:hAnsi="Arial" w:cs="Arial"/>
          <w:b/>
          <w:i/>
          <w:sz w:val="20"/>
          <w:szCs w:val="20"/>
        </w:rPr>
        <w:t>Döner sermaye gelirlerinden tahsil edilen kısmın,</w:t>
      </w:r>
      <w:r w:rsidRPr="00BB44FB">
        <w:rPr>
          <w:rFonts w:ascii="Arial" w:hAnsi="Arial" w:cs="Arial"/>
          <w:i/>
          <w:sz w:val="20"/>
          <w:szCs w:val="20"/>
        </w:rPr>
        <w:t xml:space="preserve"> tıp ve diş hekimliği fakülteleri sağlık uygulama ve araştırma merkezleri ile açık öğretim hizmeti veren yükseköğretim kurumları için asgari yüzde 35'i, ziraat ve veteriner fakülteleri, sivil havacılık yüksekokulu, sürekli eğitim merkezleri ile bünyesinde atölye veya </w:t>
      </w:r>
      <w:proofErr w:type="spellStart"/>
      <w:r w:rsidRPr="00BB44FB">
        <w:rPr>
          <w:rFonts w:ascii="Arial" w:hAnsi="Arial" w:cs="Arial"/>
          <w:i/>
          <w:sz w:val="20"/>
          <w:szCs w:val="20"/>
        </w:rPr>
        <w:t>laboratuar</w:t>
      </w:r>
      <w:proofErr w:type="spellEnd"/>
      <w:r w:rsidRPr="00BB44FB">
        <w:rPr>
          <w:rFonts w:ascii="Arial" w:hAnsi="Arial" w:cs="Arial"/>
          <w:i/>
          <w:sz w:val="20"/>
          <w:szCs w:val="20"/>
        </w:rPr>
        <w:t xml:space="preserve"> bulunan yükseköğretim kurumları için asgari yüzde 30’u, diğer yükseköğretim kurumları için ise asgari yüzde 15'i, </w:t>
      </w:r>
      <w:r w:rsidRPr="00BB44FB">
        <w:rPr>
          <w:rFonts w:ascii="Arial" w:hAnsi="Arial" w:cs="Arial"/>
          <w:b/>
          <w:i/>
          <w:sz w:val="20"/>
          <w:szCs w:val="20"/>
        </w:rPr>
        <w:t>ilgili yükseköğretim kurumunun ihtiyacı olan mal ve hizmet alımları,</w:t>
      </w:r>
      <w:r w:rsidRPr="00BB44FB">
        <w:rPr>
          <w:rFonts w:ascii="Arial" w:hAnsi="Arial" w:cs="Arial"/>
          <w:i/>
          <w:sz w:val="20"/>
          <w:szCs w:val="20"/>
        </w:rPr>
        <w:t xml:space="preserve"> her türlü bakım, onarım, kiralama,  devam  etmekte  olan   projelerin  tamamlanmasına  yönelik  inşaat  işleri  ve   </w:t>
      </w:r>
      <w:r w:rsidRPr="00BB44FB">
        <w:rPr>
          <w:rFonts w:ascii="Arial" w:hAnsi="Arial" w:cs="Arial"/>
          <w:b/>
          <w:i/>
          <w:sz w:val="20"/>
          <w:szCs w:val="20"/>
          <w:highlight w:val="yellow"/>
          <w:u w:val="single"/>
        </w:rPr>
        <w:t>diğer ihtiyaçlar</w:t>
      </w:r>
      <w:r w:rsidRPr="00BB44FB">
        <w:rPr>
          <w:rFonts w:ascii="Arial" w:hAnsi="Arial" w:cs="Arial"/>
          <w:i/>
          <w:sz w:val="20"/>
          <w:szCs w:val="20"/>
        </w:rPr>
        <w:t xml:space="preserve"> ile yönetici payları için kullanılır. </w:t>
      </w:r>
      <w:proofErr w:type="gramEnd"/>
      <w:r w:rsidRPr="00BB44FB">
        <w:rPr>
          <w:rFonts w:ascii="Arial" w:hAnsi="Arial" w:cs="Arial"/>
          <w:b/>
          <w:i/>
          <w:sz w:val="20"/>
          <w:szCs w:val="20"/>
        </w:rPr>
        <w:t>Bu oranları yüzde 75'ine kadar artırmaya üniversite yönetim kurulu yetkilidir</w:t>
      </w:r>
      <w:r w:rsidRPr="00BB44FB">
        <w:rPr>
          <w:rFonts w:ascii="Arial" w:hAnsi="Arial" w:cs="Arial"/>
          <w:i/>
          <w:sz w:val="20"/>
          <w:szCs w:val="20"/>
        </w:rPr>
        <w:t>.”</w:t>
      </w:r>
    </w:p>
    <w:p w:rsidR="00CA54E0" w:rsidRPr="00BB44FB" w:rsidRDefault="00CA54E0" w:rsidP="00CA54E0">
      <w:pPr>
        <w:jc w:val="both"/>
        <w:rPr>
          <w:rFonts w:ascii="Arial" w:hAnsi="Arial" w:cs="Arial"/>
          <w:sz w:val="20"/>
          <w:szCs w:val="20"/>
        </w:rPr>
      </w:pPr>
      <w:r w:rsidRPr="00BB44FB">
        <w:rPr>
          <w:rFonts w:ascii="Arial" w:hAnsi="Arial" w:cs="Arial"/>
          <w:i/>
          <w:sz w:val="20"/>
          <w:szCs w:val="20"/>
        </w:rPr>
        <w:t xml:space="preserve"> </w:t>
      </w:r>
      <w:r w:rsidRPr="00BB44FB">
        <w:rPr>
          <w:rFonts w:ascii="Arial" w:hAnsi="Arial" w:cs="Arial"/>
          <w:i/>
          <w:sz w:val="20"/>
          <w:szCs w:val="20"/>
        </w:rPr>
        <w:tab/>
      </w:r>
      <w:r w:rsidRPr="00BB44FB">
        <w:rPr>
          <w:rFonts w:ascii="Arial" w:hAnsi="Arial" w:cs="Arial"/>
          <w:sz w:val="20"/>
          <w:szCs w:val="20"/>
        </w:rPr>
        <w:t xml:space="preserve">Hükmü dikkate alınarak; ayrılan zorunlu karşılıklar içinden döner sermaye işletmesi müdürlüğünce kullanmak üzere hangi oranda pay alacağı hususunda bir </w:t>
      </w:r>
      <w:r w:rsidRPr="00BB44FB">
        <w:rPr>
          <w:rFonts w:ascii="Arial" w:hAnsi="Arial" w:cs="Arial"/>
          <w:b/>
          <w:sz w:val="20"/>
          <w:szCs w:val="20"/>
          <w:u w:val="single"/>
        </w:rPr>
        <w:t>Üniversite Yönetim Kurulu</w:t>
      </w:r>
      <w:r w:rsidRPr="00BB44FB">
        <w:rPr>
          <w:rFonts w:ascii="Arial" w:hAnsi="Arial" w:cs="Arial"/>
          <w:sz w:val="20"/>
          <w:szCs w:val="20"/>
        </w:rPr>
        <w:t xml:space="preserve"> kararı alınması gerekmektedir. </w:t>
      </w:r>
    </w:p>
    <w:p w:rsidR="00CA54E0" w:rsidRPr="00BB44FB" w:rsidRDefault="00CA54E0" w:rsidP="00CA54E0">
      <w:pPr>
        <w:ind w:firstLine="708"/>
        <w:jc w:val="both"/>
        <w:rPr>
          <w:rFonts w:ascii="Arial" w:hAnsi="Arial" w:cs="Arial"/>
          <w:sz w:val="20"/>
          <w:szCs w:val="20"/>
        </w:rPr>
      </w:pPr>
      <w:r w:rsidRPr="00BB44FB">
        <w:rPr>
          <w:rFonts w:ascii="Arial" w:hAnsi="Arial" w:cs="Arial"/>
          <w:sz w:val="20"/>
          <w:szCs w:val="20"/>
        </w:rPr>
        <w:t>Bu karar işletmeye bağlı bütün birimleri kapsayacak şekilde tek bir oran olabileceği gibi birimler bazında ayrı oranlarda belirlenebilir.</w:t>
      </w:r>
    </w:p>
    <w:p w:rsidR="00CA54E0" w:rsidRPr="00BB44FB" w:rsidRDefault="00CA54E0" w:rsidP="00CA54E0">
      <w:pPr>
        <w:ind w:firstLine="708"/>
        <w:jc w:val="both"/>
        <w:rPr>
          <w:rFonts w:ascii="Arial" w:hAnsi="Arial" w:cs="Arial"/>
          <w:sz w:val="20"/>
          <w:szCs w:val="20"/>
        </w:rPr>
      </w:pPr>
      <w:r w:rsidRPr="00BB44FB">
        <w:rPr>
          <w:rFonts w:ascii="Arial" w:hAnsi="Arial" w:cs="Arial"/>
          <w:bCs/>
          <w:sz w:val="20"/>
          <w:szCs w:val="20"/>
        </w:rPr>
        <w:t xml:space="preserve">Döner sermaye işletmesi bütçesine konulacak olan ödenek karşılığında veya bütçe hazırlığı sırasında bunun öngörülmemiş olması halinde ödenek aktarması ile gider tertibi oluşturulur. </w:t>
      </w:r>
      <w:proofErr w:type="spellStart"/>
      <w:r w:rsidRPr="00BB44FB">
        <w:rPr>
          <w:rFonts w:ascii="Arial" w:hAnsi="Arial" w:cs="Arial"/>
          <w:bCs/>
          <w:sz w:val="20"/>
          <w:szCs w:val="20"/>
        </w:rPr>
        <w:t>Tekno</w:t>
      </w:r>
      <w:proofErr w:type="spellEnd"/>
      <w:r w:rsidRPr="00BB44FB">
        <w:rPr>
          <w:rFonts w:ascii="Arial" w:hAnsi="Arial" w:cs="Arial"/>
          <w:bCs/>
          <w:sz w:val="20"/>
          <w:szCs w:val="20"/>
        </w:rPr>
        <w:t>-Kent şirket ortaklığı veya şirket kuruluşu için kaynak aktarılmak üzere “</w:t>
      </w:r>
      <w:r w:rsidRPr="00BB44FB">
        <w:rPr>
          <w:rFonts w:ascii="Arial" w:hAnsi="Arial" w:cs="Arial"/>
          <w:i/>
          <w:sz w:val="20"/>
          <w:szCs w:val="20"/>
          <w:u w:val="single"/>
        </w:rPr>
        <w:t>05- Cari Transferler</w:t>
      </w:r>
      <w:r w:rsidRPr="00BB44FB">
        <w:rPr>
          <w:rFonts w:ascii="Arial" w:hAnsi="Arial" w:cs="Arial"/>
          <w:i/>
          <w:sz w:val="20"/>
          <w:szCs w:val="20"/>
        </w:rPr>
        <w:t xml:space="preserve"> İşletme bütçesinden, kişi veya kurumlara pay ve benzeri cari nitelikli karşılıksız olarak yapılan kaynak aktarımları cari transferleri oluşturmaktadır. </w:t>
      </w:r>
      <w:r w:rsidRPr="00BB44FB">
        <w:rPr>
          <w:rFonts w:ascii="Arial" w:hAnsi="Arial" w:cs="Arial"/>
          <w:b/>
          <w:i/>
          <w:sz w:val="20"/>
          <w:szCs w:val="20"/>
          <w:highlight w:val="yellow"/>
          <w:u w:val="single"/>
        </w:rPr>
        <w:t>Teknoloji geliştirme bölgelerine yapılan transferlerden</w:t>
      </w:r>
      <w:r w:rsidRPr="00BB44FB">
        <w:rPr>
          <w:rFonts w:ascii="Arial" w:hAnsi="Arial" w:cs="Arial"/>
          <w:i/>
          <w:sz w:val="20"/>
          <w:szCs w:val="20"/>
        </w:rPr>
        <w:t xml:space="preserve"> yapılacak ödemeler açılan diğer transferler bölümünde izlenecektir.</w:t>
      </w:r>
      <w:r w:rsidRPr="00BB44FB">
        <w:rPr>
          <w:rFonts w:ascii="Arial" w:hAnsi="Arial" w:cs="Arial"/>
          <w:sz w:val="20"/>
          <w:szCs w:val="20"/>
        </w:rPr>
        <w:t>”</w:t>
      </w:r>
      <w:r w:rsidRPr="00BB44FB">
        <w:rPr>
          <w:rStyle w:val="DipnotBavurusu"/>
          <w:rFonts w:ascii="Arial" w:hAnsi="Arial" w:cs="Arial"/>
          <w:sz w:val="20"/>
          <w:szCs w:val="20"/>
        </w:rPr>
        <w:footnoteReference w:id="2"/>
      </w:r>
    </w:p>
    <w:p w:rsidR="00CA54E0" w:rsidRPr="00BB44FB" w:rsidRDefault="00CA54E0" w:rsidP="00CA54E0">
      <w:pPr>
        <w:ind w:firstLine="708"/>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7505"/>
      </w:tblGrid>
      <w:tr w:rsidR="00CA54E0" w:rsidRPr="00BB44FB" w:rsidTr="00EA3997">
        <w:trPr>
          <w:trHeight w:val="270"/>
        </w:trPr>
        <w:tc>
          <w:tcPr>
            <w:tcW w:w="960" w:type="pct"/>
            <w:hideMark/>
          </w:tcPr>
          <w:p w:rsidR="00CA54E0" w:rsidRPr="00BB44FB" w:rsidRDefault="00CA54E0" w:rsidP="00EA3997">
            <w:pPr>
              <w:jc w:val="both"/>
              <w:rPr>
                <w:rFonts w:ascii="Arial" w:eastAsia="Times New Roman" w:hAnsi="Arial" w:cs="Arial"/>
                <w:b/>
                <w:bCs/>
                <w:sz w:val="20"/>
                <w:szCs w:val="20"/>
                <w:lang w:eastAsia="tr-TR"/>
              </w:rPr>
            </w:pPr>
            <w:r w:rsidRPr="00BB44FB">
              <w:rPr>
                <w:rFonts w:ascii="Arial" w:hAnsi="Arial" w:cs="Arial"/>
                <w:bCs/>
                <w:sz w:val="20"/>
                <w:szCs w:val="20"/>
              </w:rPr>
              <w:t xml:space="preserve"> </w:t>
            </w:r>
            <w:r w:rsidRPr="00BB44FB">
              <w:rPr>
                <w:rFonts w:ascii="Arial" w:eastAsia="Times New Roman" w:hAnsi="Arial" w:cs="Arial"/>
                <w:b/>
                <w:bCs/>
                <w:sz w:val="20"/>
                <w:szCs w:val="20"/>
                <w:lang w:eastAsia="tr-TR"/>
              </w:rPr>
              <w:t>Bütçe Tertibi</w:t>
            </w:r>
          </w:p>
        </w:tc>
        <w:tc>
          <w:tcPr>
            <w:tcW w:w="4040" w:type="pct"/>
            <w:hideMark/>
          </w:tcPr>
          <w:p w:rsidR="00CA54E0" w:rsidRPr="00BB44FB" w:rsidRDefault="00CA54E0" w:rsidP="00EA3997">
            <w:pPr>
              <w:jc w:val="both"/>
              <w:rPr>
                <w:rFonts w:ascii="Arial" w:eastAsia="Times New Roman" w:hAnsi="Arial" w:cs="Arial"/>
                <w:b/>
                <w:bCs/>
                <w:sz w:val="20"/>
                <w:szCs w:val="20"/>
                <w:lang w:eastAsia="tr-TR"/>
              </w:rPr>
            </w:pPr>
            <w:r w:rsidRPr="00BB44FB">
              <w:rPr>
                <w:rFonts w:ascii="Arial" w:eastAsia="Times New Roman" w:hAnsi="Arial" w:cs="Arial"/>
                <w:b/>
                <w:bCs/>
                <w:sz w:val="20"/>
                <w:szCs w:val="20"/>
                <w:lang w:eastAsia="tr-TR"/>
              </w:rPr>
              <w:t>Hesap Adı</w:t>
            </w:r>
          </w:p>
        </w:tc>
      </w:tr>
      <w:tr w:rsidR="00CA54E0" w:rsidRPr="00BB44FB" w:rsidTr="00EA3997">
        <w:trPr>
          <w:trHeight w:val="270"/>
        </w:trPr>
        <w:tc>
          <w:tcPr>
            <w:tcW w:w="960" w:type="pct"/>
            <w:hideMark/>
          </w:tcPr>
          <w:p w:rsidR="00CA54E0" w:rsidRPr="00BB44FB" w:rsidRDefault="00CA54E0" w:rsidP="00EA3997">
            <w:pPr>
              <w:jc w:val="both"/>
              <w:rPr>
                <w:rFonts w:ascii="Arial" w:eastAsia="Times New Roman" w:hAnsi="Arial" w:cs="Arial"/>
                <w:b/>
                <w:bCs/>
                <w:sz w:val="20"/>
                <w:szCs w:val="20"/>
                <w:lang w:eastAsia="tr-TR"/>
              </w:rPr>
            </w:pPr>
            <w:r w:rsidRPr="00BB44FB">
              <w:rPr>
                <w:rFonts w:ascii="Arial" w:eastAsia="Times New Roman" w:hAnsi="Arial" w:cs="Arial"/>
                <w:b/>
                <w:bCs/>
                <w:sz w:val="20"/>
                <w:szCs w:val="20"/>
                <w:lang w:eastAsia="tr-TR"/>
              </w:rPr>
              <w:t>830.05.09.02.01</w:t>
            </w:r>
          </w:p>
        </w:tc>
        <w:tc>
          <w:tcPr>
            <w:tcW w:w="4040" w:type="pct"/>
            <w:hideMark/>
          </w:tcPr>
          <w:p w:rsidR="00CA54E0" w:rsidRPr="00BB44FB" w:rsidRDefault="00CA54E0" w:rsidP="00EA3997">
            <w:pPr>
              <w:jc w:val="both"/>
              <w:rPr>
                <w:rFonts w:ascii="Arial" w:eastAsia="Times New Roman" w:hAnsi="Arial" w:cs="Arial"/>
                <w:sz w:val="20"/>
                <w:szCs w:val="20"/>
                <w:lang w:eastAsia="tr-TR"/>
              </w:rPr>
            </w:pPr>
            <w:r w:rsidRPr="00BB44FB">
              <w:rPr>
                <w:rFonts w:ascii="Arial" w:eastAsia="Times New Roman" w:hAnsi="Arial" w:cs="Arial"/>
                <w:sz w:val="20"/>
                <w:szCs w:val="20"/>
                <w:lang w:eastAsia="tr-TR"/>
              </w:rPr>
              <w:t>Teknoloji Geliştirme Bölgelerine Yapılan Transferler</w:t>
            </w:r>
          </w:p>
        </w:tc>
      </w:tr>
    </w:tbl>
    <w:p w:rsidR="00CA54E0" w:rsidRPr="00BB44FB" w:rsidRDefault="00CA54E0" w:rsidP="00CA54E0">
      <w:pPr>
        <w:pStyle w:val="ListeParagraf"/>
        <w:spacing w:line="240" w:lineRule="auto"/>
        <w:ind w:left="709"/>
        <w:jc w:val="both"/>
        <w:rPr>
          <w:rFonts w:ascii="Arial" w:hAnsi="Arial" w:cs="Arial"/>
          <w:b/>
          <w:bCs/>
          <w:sz w:val="20"/>
          <w:szCs w:val="20"/>
        </w:rPr>
      </w:pPr>
      <w:bookmarkStart w:id="4" w:name="_Toc404785184"/>
    </w:p>
    <w:p w:rsidR="00CA54E0" w:rsidRPr="00BB44FB" w:rsidRDefault="00CA54E0" w:rsidP="00CA54E0">
      <w:pPr>
        <w:pStyle w:val="ListeParagraf"/>
        <w:numPr>
          <w:ilvl w:val="0"/>
          <w:numId w:val="2"/>
        </w:numPr>
        <w:spacing w:line="240" w:lineRule="auto"/>
        <w:ind w:left="0" w:firstLine="709"/>
        <w:jc w:val="both"/>
        <w:rPr>
          <w:rFonts w:ascii="Arial" w:hAnsi="Arial" w:cs="Arial"/>
          <w:b/>
          <w:bCs/>
          <w:sz w:val="20"/>
          <w:szCs w:val="20"/>
        </w:rPr>
      </w:pPr>
      <w:r w:rsidRPr="00BB44FB">
        <w:rPr>
          <w:rFonts w:ascii="Arial" w:hAnsi="Arial" w:cs="Arial"/>
          <w:b/>
          <w:bCs/>
          <w:sz w:val="20"/>
          <w:szCs w:val="20"/>
        </w:rPr>
        <w:t>Ödeneğin Kullanılması</w:t>
      </w:r>
      <w:bookmarkEnd w:id="4"/>
    </w:p>
    <w:p w:rsidR="00CA54E0" w:rsidRPr="00BB44FB" w:rsidRDefault="00CA54E0" w:rsidP="00CA54E0">
      <w:pPr>
        <w:ind w:firstLine="708"/>
        <w:jc w:val="both"/>
        <w:rPr>
          <w:rFonts w:ascii="Arial" w:hAnsi="Arial" w:cs="Arial"/>
          <w:bCs/>
          <w:sz w:val="20"/>
          <w:szCs w:val="20"/>
        </w:rPr>
      </w:pPr>
      <w:r w:rsidRPr="00BB44FB">
        <w:rPr>
          <w:rFonts w:ascii="Arial" w:hAnsi="Arial" w:cs="Arial"/>
          <w:bCs/>
          <w:sz w:val="20"/>
          <w:szCs w:val="20"/>
        </w:rPr>
        <w:t xml:space="preserve">Döner sermaye işletmesi bütçesinde öngörülen ödeneğin aktarılması amacıyla </w:t>
      </w:r>
      <w:r w:rsidRPr="00BB44FB">
        <w:rPr>
          <w:rFonts w:ascii="Arial" w:hAnsi="Arial" w:cs="Arial"/>
          <w:b/>
          <w:bCs/>
          <w:sz w:val="20"/>
          <w:szCs w:val="20"/>
          <w:u w:val="single"/>
        </w:rPr>
        <w:t xml:space="preserve">Üniversite Yönetim Kurulu </w:t>
      </w:r>
      <w:r w:rsidRPr="00BB44FB">
        <w:rPr>
          <w:rFonts w:ascii="Arial" w:hAnsi="Arial" w:cs="Arial"/>
          <w:bCs/>
          <w:sz w:val="20"/>
          <w:szCs w:val="20"/>
        </w:rPr>
        <w:t xml:space="preserve">tarafından alınacak olan karar doğrultusunda işlemler yapılacaktır. Yönetim kurulu kararında bu kaynağın borç olarak veya karşılıksız olarak aktarıldığına ilişkin açıklamanın da bulunması gerekmektedir. </w:t>
      </w:r>
    </w:p>
    <w:p w:rsidR="00CA54E0" w:rsidRDefault="00CA54E0" w:rsidP="00CA54E0">
      <w:pPr>
        <w:ind w:firstLine="708"/>
        <w:jc w:val="both"/>
        <w:rPr>
          <w:rFonts w:ascii="Arial" w:hAnsi="Arial" w:cs="Arial"/>
          <w:bCs/>
          <w:sz w:val="20"/>
          <w:szCs w:val="20"/>
        </w:rPr>
      </w:pPr>
      <w:r w:rsidRPr="00BB44FB">
        <w:rPr>
          <w:rFonts w:ascii="Arial" w:hAnsi="Arial" w:cs="Arial"/>
          <w:bCs/>
          <w:sz w:val="20"/>
          <w:szCs w:val="20"/>
        </w:rPr>
        <w:t xml:space="preserve">Döner sermaye işletme müdürü Üniversite Yönetim Kurulunun bu kararına istinaden </w:t>
      </w:r>
      <w:proofErr w:type="spellStart"/>
      <w:r w:rsidRPr="00BB44FB">
        <w:rPr>
          <w:rFonts w:ascii="Arial" w:hAnsi="Arial" w:cs="Arial"/>
          <w:bCs/>
          <w:sz w:val="20"/>
          <w:szCs w:val="20"/>
        </w:rPr>
        <w:t>Tekno</w:t>
      </w:r>
      <w:proofErr w:type="spellEnd"/>
      <w:r w:rsidRPr="00BB44FB">
        <w:rPr>
          <w:rFonts w:ascii="Arial" w:hAnsi="Arial" w:cs="Arial"/>
          <w:bCs/>
          <w:sz w:val="20"/>
          <w:szCs w:val="20"/>
        </w:rPr>
        <w:t>-Kent şirketinin ilgili banka hesabına bütçeye konulmuş bulunan ödenekten aktarma işlemini yapacaktır.</w:t>
      </w:r>
    </w:p>
    <w:p w:rsidR="00CA54E0" w:rsidRDefault="00CA54E0" w:rsidP="00CA54E0">
      <w:pPr>
        <w:ind w:firstLine="708"/>
        <w:jc w:val="both"/>
        <w:rPr>
          <w:rFonts w:ascii="Arial" w:hAnsi="Arial" w:cs="Arial"/>
          <w:bCs/>
          <w:sz w:val="20"/>
          <w:szCs w:val="20"/>
        </w:rPr>
      </w:pPr>
    </w:p>
    <w:p w:rsidR="00CA54E0" w:rsidRDefault="00CA54E0" w:rsidP="00CA54E0">
      <w:pPr>
        <w:ind w:firstLine="708"/>
        <w:jc w:val="both"/>
        <w:rPr>
          <w:rFonts w:ascii="Arial" w:hAnsi="Arial" w:cs="Arial"/>
          <w:bCs/>
          <w:sz w:val="20"/>
          <w:szCs w:val="20"/>
        </w:rPr>
      </w:pPr>
    </w:p>
    <w:p w:rsidR="00CA54E0" w:rsidRDefault="00CA54E0" w:rsidP="00CA54E0">
      <w:pPr>
        <w:ind w:firstLine="708"/>
        <w:jc w:val="both"/>
        <w:rPr>
          <w:rFonts w:ascii="Arial" w:hAnsi="Arial" w:cs="Arial"/>
          <w:bCs/>
          <w:sz w:val="20"/>
          <w:szCs w:val="20"/>
        </w:rPr>
      </w:pPr>
    </w:p>
    <w:p w:rsidR="00CA54E0" w:rsidRDefault="00CA54E0" w:rsidP="00CA54E0">
      <w:pPr>
        <w:ind w:firstLine="708"/>
        <w:jc w:val="both"/>
        <w:rPr>
          <w:rFonts w:ascii="Arial" w:hAnsi="Arial" w:cs="Arial"/>
          <w:bCs/>
          <w:sz w:val="20"/>
          <w:szCs w:val="20"/>
        </w:rPr>
      </w:pPr>
    </w:p>
    <w:p w:rsidR="00CA54E0" w:rsidRDefault="00CA54E0" w:rsidP="00CA54E0">
      <w:pPr>
        <w:ind w:firstLine="708"/>
        <w:jc w:val="both"/>
        <w:rPr>
          <w:rFonts w:ascii="Arial" w:hAnsi="Arial" w:cs="Arial"/>
          <w:bCs/>
          <w:sz w:val="20"/>
          <w:szCs w:val="20"/>
        </w:rPr>
      </w:pPr>
    </w:p>
    <w:p w:rsidR="00CA54E0" w:rsidRPr="00BB44FB" w:rsidRDefault="00CA54E0" w:rsidP="00CA54E0">
      <w:pPr>
        <w:ind w:firstLine="708"/>
        <w:jc w:val="both"/>
        <w:rPr>
          <w:rFonts w:ascii="Arial" w:hAnsi="Arial" w:cs="Arial"/>
          <w:bCs/>
          <w:sz w:val="20"/>
          <w:szCs w:val="20"/>
        </w:rPr>
      </w:pPr>
    </w:p>
    <w:p w:rsidR="00CA54E0" w:rsidRPr="00BB44FB" w:rsidRDefault="00CA54E0" w:rsidP="00CA54E0">
      <w:pPr>
        <w:ind w:firstLine="708"/>
        <w:jc w:val="both"/>
        <w:rPr>
          <w:rFonts w:ascii="Arial" w:hAnsi="Arial" w:cs="Arial"/>
          <w:bCs/>
          <w:sz w:val="20"/>
          <w:szCs w:val="20"/>
        </w:rPr>
      </w:pPr>
    </w:p>
    <w:p w:rsidR="00CA54E0" w:rsidRPr="00BB44FB" w:rsidRDefault="00CA54E0" w:rsidP="00CA54E0">
      <w:pPr>
        <w:pStyle w:val="ListeParagraf"/>
        <w:numPr>
          <w:ilvl w:val="0"/>
          <w:numId w:val="2"/>
        </w:numPr>
        <w:spacing w:line="240" w:lineRule="auto"/>
        <w:ind w:left="0" w:firstLine="709"/>
        <w:jc w:val="both"/>
        <w:rPr>
          <w:rFonts w:ascii="Arial" w:hAnsi="Arial" w:cs="Arial"/>
          <w:b/>
          <w:bCs/>
          <w:sz w:val="20"/>
          <w:szCs w:val="20"/>
        </w:rPr>
      </w:pPr>
      <w:bookmarkStart w:id="5" w:name="_Toc404785185"/>
      <w:r w:rsidRPr="00BB44FB">
        <w:rPr>
          <w:rFonts w:ascii="Arial" w:hAnsi="Arial" w:cs="Arial"/>
          <w:b/>
          <w:bCs/>
          <w:sz w:val="20"/>
          <w:szCs w:val="20"/>
        </w:rPr>
        <w:t>Döner Sermaye İşletmesinin Muhasebe Kayıtları</w:t>
      </w:r>
      <w:bookmarkEnd w:id="5"/>
    </w:p>
    <w:p w:rsidR="00CA54E0" w:rsidRPr="00BB44FB" w:rsidRDefault="00CA54E0" w:rsidP="00CA54E0">
      <w:pPr>
        <w:jc w:val="both"/>
        <w:rPr>
          <w:rFonts w:ascii="Arial" w:hAnsi="Arial" w:cs="Arial"/>
          <w:bCs/>
          <w:sz w:val="20"/>
          <w:szCs w:val="20"/>
        </w:rPr>
      </w:pPr>
      <w:r w:rsidRPr="00BB44FB">
        <w:rPr>
          <w:rFonts w:ascii="Arial" w:hAnsi="Arial" w:cs="Arial"/>
          <w:bCs/>
          <w:sz w:val="20"/>
          <w:szCs w:val="20"/>
        </w:rPr>
        <w:t>Döner sermaye işletmesince düzenlenecek olan “</w:t>
      </w:r>
      <w:r w:rsidRPr="00BB44FB">
        <w:rPr>
          <w:rFonts w:ascii="Arial" w:hAnsi="Arial" w:cs="Arial"/>
          <w:b/>
          <w:bCs/>
          <w:i/>
          <w:sz w:val="20"/>
          <w:szCs w:val="20"/>
        </w:rPr>
        <w:t>Ödeme Emri Belgesi</w:t>
      </w:r>
      <w:r w:rsidRPr="00BB44FB">
        <w:rPr>
          <w:rFonts w:ascii="Arial" w:hAnsi="Arial" w:cs="Arial"/>
          <w:b/>
          <w:bCs/>
          <w:sz w:val="20"/>
          <w:szCs w:val="20"/>
        </w:rPr>
        <w:t>”</w:t>
      </w:r>
      <w:r w:rsidRPr="00BB44FB">
        <w:rPr>
          <w:rFonts w:ascii="Arial" w:hAnsi="Arial" w:cs="Arial"/>
          <w:bCs/>
          <w:sz w:val="20"/>
          <w:szCs w:val="20"/>
        </w:rPr>
        <w:t xml:space="preserve"> ile aşağıda yer alan muhasebe kaydının yapılması gerekecektir. </w:t>
      </w:r>
    </w:p>
    <w:p w:rsidR="00CA54E0" w:rsidRPr="00BB44FB" w:rsidRDefault="00CA54E0" w:rsidP="00CA54E0">
      <w:pPr>
        <w:jc w:val="both"/>
        <w:rPr>
          <w:rFonts w:ascii="Arial" w:hAnsi="Arial" w:cs="Arial"/>
          <w:bCs/>
          <w:sz w:val="20"/>
          <w:szCs w:val="20"/>
        </w:rPr>
      </w:pPr>
    </w:p>
    <w:tbl>
      <w:tblPr>
        <w:tblStyle w:val="TabloKlavuzu"/>
        <w:tblW w:w="5000" w:type="pct"/>
        <w:tblLook w:val="04A0" w:firstRow="1" w:lastRow="0" w:firstColumn="1" w:lastColumn="0" w:noHBand="0" w:noVBand="1"/>
      </w:tblPr>
      <w:tblGrid>
        <w:gridCol w:w="2483"/>
        <w:gridCol w:w="3747"/>
        <w:gridCol w:w="1683"/>
        <w:gridCol w:w="1375"/>
      </w:tblGrid>
      <w:tr w:rsidR="00CA54E0" w:rsidRPr="00BB44FB" w:rsidTr="00EB62B4">
        <w:tc>
          <w:tcPr>
            <w:tcW w:w="1337" w:type="pct"/>
          </w:tcPr>
          <w:p w:rsidR="00CA54E0" w:rsidRPr="00BB44FB" w:rsidRDefault="00CA54E0" w:rsidP="00EA3997">
            <w:pPr>
              <w:jc w:val="both"/>
              <w:rPr>
                <w:rFonts w:ascii="Arial" w:hAnsi="Arial" w:cs="Arial"/>
                <w:sz w:val="20"/>
                <w:szCs w:val="20"/>
              </w:rPr>
            </w:pPr>
            <w:r w:rsidRPr="00BB44FB">
              <w:rPr>
                <w:rFonts w:ascii="Arial" w:hAnsi="Arial" w:cs="Arial"/>
                <w:sz w:val="20"/>
                <w:szCs w:val="20"/>
              </w:rPr>
              <w:t>HESAP KODU</w:t>
            </w:r>
          </w:p>
        </w:tc>
        <w:tc>
          <w:tcPr>
            <w:tcW w:w="2017" w:type="pct"/>
          </w:tcPr>
          <w:p w:rsidR="00CA54E0" w:rsidRPr="00BB44FB" w:rsidRDefault="00CA54E0" w:rsidP="00EA3997">
            <w:pPr>
              <w:jc w:val="both"/>
              <w:rPr>
                <w:rFonts w:ascii="Arial" w:hAnsi="Arial" w:cs="Arial"/>
                <w:sz w:val="20"/>
                <w:szCs w:val="20"/>
              </w:rPr>
            </w:pPr>
            <w:r w:rsidRPr="00BB44FB">
              <w:rPr>
                <w:rFonts w:ascii="Arial" w:hAnsi="Arial" w:cs="Arial"/>
                <w:sz w:val="20"/>
                <w:szCs w:val="20"/>
              </w:rPr>
              <w:t>HESAP ADI</w:t>
            </w:r>
          </w:p>
        </w:tc>
        <w:tc>
          <w:tcPr>
            <w:tcW w:w="906" w:type="pct"/>
          </w:tcPr>
          <w:p w:rsidR="00CA54E0" w:rsidRPr="00BB44FB" w:rsidRDefault="00CA54E0" w:rsidP="00EA3997">
            <w:pPr>
              <w:jc w:val="both"/>
              <w:rPr>
                <w:rFonts w:ascii="Arial" w:hAnsi="Arial" w:cs="Arial"/>
                <w:sz w:val="20"/>
                <w:szCs w:val="20"/>
              </w:rPr>
            </w:pPr>
            <w:r w:rsidRPr="00BB44FB">
              <w:rPr>
                <w:rFonts w:ascii="Arial" w:hAnsi="Arial" w:cs="Arial"/>
                <w:sz w:val="20"/>
                <w:szCs w:val="20"/>
              </w:rPr>
              <w:t>BORÇ</w:t>
            </w:r>
          </w:p>
        </w:tc>
        <w:tc>
          <w:tcPr>
            <w:tcW w:w="740" w:type="pct"/>
          </w:tcPr>
          <w:p w:rsidR="00CA54E0" w:rsidRPr="00BB44FB" w:rsidRDefault="00CA54E0" w:rsidP="00EA3997">
            <w:pPr>
              <w:jc w:val="both"/>
              <w:rPr>
                <w:rFonts w:ascii="Arial" w:hAnsi="Arial" w:cs="Arial"/>
                <w:sz w:val="20"/>
                <w:szCs w:val="20"/>
              </w:rPr>
            </w:pPr>
            <w:r w:rsidRPr="00BB44FB">
              <w:rPr>
                <w:rFonts w:ascii="Arial" w:hAnsi="Arial" w:cs="Arial"/>
                <w:sz w:val="20"/>
                <w:szCs w:val="20"/>
              </w:rPr>
              <w:t>ALACAK</w:t>
            </w:r>
          </w:p>
        </w:tc>
      </w:tr>
      <w:tr w:rsidR="00CA54E0" w:rsidRPr="00BB44FB" w:rsidTr="00EB62B4">
        <w:tc>
          <w:tcPr>
            <w:tcW w:w="1337" w:type="pct"/>
          </w:tcPr>
          <w:p w:rsidR="00CA54E0" w:rsidRPr="00BB44FB" w:rsidRDefault="00CA54E0" w:rsidP="00EA3997">
            <w:pPr>
              <w:jc w:val="both"/>
              <w:rPr>
                <w:rFonts w:ascii="Arial" w:hAnsi="Arial" w:cs="Arial"/>
                <w:sz w:val="20"/>
                <w:szCs w:val="20"/>
              </w:rPr>
            </w:pPr>
            <w:r w:rsidRPr="00BB44FB">
              <w:rPr>
                <w:rFonts w:ascii="Arial" w:hAnsi="Arial" w:cs="Arial"/>
                <w:sz w:val="20"/>
                <w:szCs w:val="20"/>
              </w:rPr>
              <w:t>770.99.99</w:t>
            </w:r>
          </w:p>
        </w:tc>
        <w:tc>
          <w:tcPr>
            <w:tcW w:w="2017" w:type="pct"/>
          </w:tcPr>
          <w:p w:rsidR="00CA54E0" w:rsidRPr="00BB44FB" w:rsidRDefault="00CA54E0" w:rsidP="00EA3997">
            <w:pPr>
              <w:jc w:val="both"/>
              <w:rPr>
                <w:rFonts w:ascii="Arial" w:hAnsi="Arial" w:cs="Arial"/>
                <w:sz w:val="20"/>
                <w:szCs w:val="20"/>
              </w:rPr>
            </w:pPr>
            <w:r w:rsidRPr="00BB44FB">
              <w:rPr>
                <w:rFonts w:ascii="Arial" w:hAnsi="Arial" w:cs="Arial"/>
                <w:sz w:val="20"/>
                <w:szCs w:val="20"/>
              </w:rPr>
              <w:t>Diğer Çeşitli Giderler</w:t>
            </w:r>
          </w:p>
        </w:tc>
        <w:tc>
          <w:tcPr>
            <w:tcW w:w="906" w:type="pct"/>
          </w:tcPr>
          <w:p w:rsidR="00CA54E0" w:rsidRPr="00BB44FB" w:rsidRDefault="00CA54E0" w:rsidP="00EA3997">
            <w:pPr>
              <w:jc w:val="both"/>
              <w:rPr>
                <w:rFonts w:ascii="Arial" w:hAnsi="Arial" w:cs="Arial"/>
                <w:sz w:val="20"/>
                <w:szCs w:val="20"/>
              </w:rPr>
            </w:pPr>
            <w:r w:rsidRPr="00BB44FB">
              <w:rPr>
                <w:rFonts w:ascii="Arial" w:hAnsi="Arial" w:cs="Arial"/>
                <w:sz w:val="20"/>
                <w:szCs w:val="20"/>
              </w:rPr>
              <w:t>50.000.-</w:t>
            </w:r>
          </w:p>
        </w:tc>
        <w:tc>
          <w:tcPr>
            <w:tcW w:w="740" w:type="pct"/>
          </w:tcPr>
          <w:p w:rsidR="00CA54E0" w:rsidRPr="00BB44FB" w:rsidRDefault="00CA54E0" w:rsidP="00EA3997">
            <w:pPr>
              <w:jc w:val="both"/>
              <w:rPr>
                <w:rFonts w:ascii="Arial" w:hAnsi="Arial" w:cs="Arial"/>
                <w:sz w:val="20"/>
                <w:szCs w:val="20"/>
              </w:rPr>
            </w:pPr>
          </w:p>
        </w:tc>
      </w:tr>
      <w:tr w:rsidR="00CA54E0" w:rsidRPr="00BB44FB" w:rsidTr="00EB62B4">
        <w:tc>
          <w:tcPr>
            <w:tcW w:w="1337" w:type="pct"/>
          </w:tcPr>
          <w:p w:rsidR="00CA54E0" w:rsidRPr="00BB44FB" w:rsidRDefault="00CA54E0" w:rsidP="00EA3997">
            <w:pPr>
              <w:jc w:val="both"/>
              <w:rPr>
                <w:rFonts w:ascii="Arial" w:hAnsi="Arial" w:cs="Arial"/>
                <w:sz w:val="20"/>
                <w:szCs w:val="20"/>
              </w:rPr>
            </w:pPr>
            <w:r w:rsidRPr="00BB44FB">
              <w:rPr>
                <w:rFonts w:ascii="Arial" w:hAnsi="Arial" w:cs="Arial"/>
                <w:sz w:val="20"/>
                <w:szCs w:val="20"/>
              </w:rPr>
              <w:t>103</w:t>
            </w:r>
          </w:p>
        </w:tc>
        <w:tc>
          <w:tcPr>
            <w:tcW w:w="2017" w:type="pct"/>
          </w:tcPr>
          <w:p w:rsidR="00CA54E0" w:rsidRPr="00BB44FB" w:rsidRDefault="00CA54E0" w:rsidP="00EA3997">
            <w:pPr>
              <w:jc w:val="both"/>
              <w:rPr>
                <w:rFonts w:ascii="Arial" w:hAnsi="Arial" w:cs="Arial"/>
                <w:sz w:val="20"/>
                <w:szCs w:val="20"/>
              </w:rPr>
            </w:pPr>
            <w:r w:rsidRPr="00BB44FB">
              <w:rPr>
                <w:rFonts w:ascii="Arial" w:hAnsi="Arial" w:cs="Arial"/>
                <w:sz w:val="20"/>
                <w:szCs w:val="20"/>
              </w:rPr>
              <w:t>Verilen Çek ve Gönderme Emirleri</w:t>
            </w:r>
          </w:p>
        </w:tc>
        <w:tc>
          <w:tcPr>
            <w:tcW w:w="906" w:type="pct"/>
          </w:tcPr>
          <w:p w:rsidR="00CA54E0" w:rsidRPr="00BB44FB" w:rsidRDefault="00CA54E0" w:rsidP="00EA3997">
            <w:pPr>
              <w:jc w:val="both"/>
              <w:rPr>
                <w:rFonts w:ascii="Arial" w:hAnsi="Arial" w:cs="Arial"/>
                <w:sz w:val="20"/>
                <w:szCs w:val="20"/>
              </w:rPr>
            </w:pPr>
          </w:p>
        </w:tc>
        <w:tc>
          <w:tcPr>
            <w:tcW w:w="740" w:type="pct"/>
          </w:tcPr>
          <w:p w:rsidR="00CA54E0" w:rsidRPr="00BB44FB" w:rsidRDefault="00CA54E0" w:rsidP="00EA3997">
            <w:pPr>
              <w:jc w:val="both"/>
              <w:rPr>
                <w:rFonts w:ascii="Arial" w:hAnsi="Arial" w:cs="Arial"/>
                <w:sz w:val="20"/>
                <w:szCs w:val="20"/>
              </w:rPr>
            </w:pPr>
            <w:r w:rsidRPr="00BB44FB">
              <w:rPr>
                <w:rFonts w:ascii="Arial" w:hAnsi="Arial" w:cs="Arial"/>
                <w:sz w:val="20"/>
                <w:szCs w:val="20"/>
              </w:rPr>
              <w:t>50.000.-</w:t>
            </w:r>
          </w:p>
        </w:tc>
      </w:tr>
      <w:tr w:rsidR="00CA54E0" w:rsidRPr="00BB44FB" w:rsidTr="00EB62B4">
        <w:tc>
          <w:tcPr>
            <w:tcW w:w="1337" w:type="pct"/>
          </w:tcPr>
          <w:p w:rsidR="00CA54E0" w:rsidRPr="00BB44FB" w:rsidRDefault="00CA54E0" w:rsidP="00EA3997">
            <w:pPr>
              <w:jc w:val="both"/>
              <w:rPr>
                <w:rFonts w:ascii="Arial" w:hAnsi="Arial" w:cs="Arial"/>
                <w:sz w:val="20"/>
                <w:szCs w:val="20"/>
              </w:rPr>
            </w:pPr>
            <w:r w:rsidRPr="00BB44FB">
              <w:rPr>
                <w:rFonts w:ascii="Arial" w:eastAsia="Times New Roman" w:hAnsi="Arial" w:cs="Arial"/>
                <w:sz w:val="20"/>
                <w:szCs w:val="20"/>
                <w:lang w:eastAsia="tr-TR"/>
              </w:rPr>
              <w:t>830.05.09.02.01</w:t>
            </w:r>
          </w:p>
        </w:tc>
        <w:tc>
          <w:tcPr>
            <w:tcW w:w="2017" w:type="pct"/>
          </w:tcPr>
          <w:p w:rsidR="00CA54E0" w:rsidRPr="00BB44FB" w:rsidRDefault="00CA54E0" w:rsidP="00EA3997">
            <w:pPr>
              <w:jc w:val="both"/>
              <w:rPr>
                <w:rFonts w:ascii="Arial" w:hAnsi="Arial" w:cs="Arial"/>
                <w:sz w:val="20"/>
                <w:szCs w:val="20"/>
              </w:rPr>
            </w:pPr>
            <w:r w:rsidRPr="00BB44FB">
              <w:rPr>
                <w:rFonts w:ascii="Arial" w:eastAsia="Times New Roman" w:hAnsi="Arial" w:cs="Arial"/>
                <w:sz w:val="20"/>
                <w:szCs w:val="20"/>
                <w:lang w:eastAsia="tr-TR"/>
              </w:rPr>
              <w:t>Teknoloji Geliştirme Bölgelerine Yapılan Transferler</w:t>
            </w:r>
          </w:p>
        </w:tc>
        <w:tc>
          <w:tcPr>
            <w:tcW w:w="906" w:type="pct"/>
          </w:tcPr>
          <w:p w:rsidR="00CA54E0" w:rsidRPr="00BB44FB" w:rsidRDefault="00CA54E0" w:rsidP="00EA3997">
            <w:pPr>
              <w:jc w:val="both"/>
              <w:rPr>
                <w:rFonts w:ascii="Arial" w:hAnsi="Arial" w:cs="Arial"/>
                <w:sz w:val="20"/>
                <w:szCs w:val="20"/>
              </w:rPr>
            </w:pPr>
            <w:r w:rsidRPr="00BB44FB">
              <w:rPr>
                <w:rFonts w:ascii="Arial" w:hAnsi="Arial" w:cs="Arial"/>
                <w:sz w:val="20"/>
                <w:szCs w:val="20"/>
              </w:rPr>
              <w:t>50.000.-</w:t>
            </w:r>
          </w:p>
        </w:tc>
        <w:tc>
          <w:tcPr>
            <w:tcW w:w="740" w:type="pct"/>
          </w:tcPr>
          <w:p w:rsidR="00CA54E0" w:rsidRPr="00BB44FB" w:rsidRDefault="00CA54E0" w:rsidP="00EA3997">
            <w:pPr>
              <w:jc w:val="both"/>
              <w:rPr>
                <w:rFonts w:ascii="Arial" w:hAnsi="Arial" w:cs="Arial"/>
                <w:sz w:val="20"/>
                <w:szCs w:val="20"/>
              </w:rPr>
            </w:pPr>
          </w:p>
        </w:tc>
      </w:tr>
      <w:tr w:rsidR="00CA54E0" w:rsidRPr="00BB44FB" w:rsidTr="00EB62B4">
        <w:tc>
          <w:tcPr>
            <w:tcW w:w="1337" w:type="pct"/>
          </w:tcPr>
          <w:p w:rsidR="00CA54E0" w:rsidRPr="00BB44FB" w:rsidRDefault="00CA54E0" w:rsidP="00EA3997">
            <w:pPr>
              <w:jc w:val="both"/>
              <w:rPr>
                <w:rFonts w:ascii="Arial" w:hAnsi="Arial" w:cs="Arial"/>
                <w:sz w:val="20"/>
                <w:szCs w:val="20"/>
              </w:rPr>
            </w:pPr>
            <w:r w:rsidRPr="00BB44FB">
              <w:rPr>
                <w:rFonts w:ascii="Arial" w:hAnsi="Arial" w:cs="Arial"/>
                <w:sz w:val="20"/>
                <w:szCs w:val="20"/>
              </w:rPr>
              <w:t>835</w:t>
            </w:r>
          </w:p>
        </w:tc>
        <w:tc>
          <w:tcPr>
            <w:tcW w:w="2017" w:type="pct"/>
          </w:tcPr>
          <w:p w:rsidR="00CA54E0" w:rsidRPr="00BB44FB" w:rsidRDefault="00CA54E0" w:rsidP="00EA3997">
            <w:pPr>
              <w:jc w:val="both"/>
              <w:rPr>
                <w:rFonts w:ascii="Arial" w:hAnsi="Arial" w:cs="Arial"/>
                <w:sz w:val="20"/>
                <w:szCs w:val="20"/>
              </w:rPr>
            </w:pPr>
            <w:r w:rsidRPr="00BB44FB">
              <w:rPr>
                <w:rFonts w:ascii="Arial" w:hAnsi="Arial" w:cs="Arial"/>
                <w:sz w:val="20"/>
                <w:szCs w:val="20"/>
              </w:rPr>
              <w:t>GİDER YANSITMA HESABI</w:t>
            </w:r>
          </w:p>
        </w:tc>
        <w:tc>
          <w:tcPr>
            <w:tcW w:w="906" w:type="pct"/>
          </w:tcPr>
          <w:p w:rsidR="00CA54E0" w:rsidRPr="00BB44FB" w:rsidRDefault="00CA54E0" w:rsidP="00EA3997">
            <w:pPr>
              <w:jc w:val="both"/>
              <w:rPr>
                <w:rFonts w:ascii="Arial" w:hAnsi="Arial" w:cs="Arial"/>
                <w:sz w:val="20"/>
                <w:szCs w:val="20"/>
              </w:rPr>
            </w:pPr>
          </w:p>
        </w:tc>
        <w:tc>
          <w:tcPr>
            <w:tcW w:w="740" w:type="pct"/>
          </w:tcPr>
          <w:p w:rsidR="00CA54E0" w:rsidRPr="00BB44FB" w:rsidRDefault="00CA54E0" w:rsidP="00EA3997">
            <w:pPr>
              <w:jc w:val="both"/>
              <w:rPr>
                <w:rFonts w:ascii="Arial" w:hAnsi="Arial" w:cs="Arial"/>
                <w:sz w:val="20"/>
                <w:szCs w:val="20"/>
              </w:rPr>
            </w:pPr>
            <w:r w:rsidRPr="00BB44FB">
              <w:rPr>
                <w:rFonts w:ascii="Arial" w:hAnsi="Arial" w:cs="Arial"/>
                <w:sz w:val="20"/>
                <w:szCs w:val="20"/>
              </w:rPr>
              <w:t>50.000.-</w:t>
            </w:r>
          </w:p>
        </w:tc>
      </w:tr>
    </w:tbl>
    <w:p w:rsidR="00CA54E0" w:rsidRPr="00BB44FB" w:rsidRDefault="00CA54E0" w:rsidP="00CA54E0">
      <w:pPr>
        <w:jc w:val="both"/>
        <w:rPr>
          <w:rFonts w:ascii="Arial" w:hAnsi="Arial" w:cs="Arial"/>
          <w:bCs/>
          <w:sz w:val="20"/>
          <w:szCs w:val="20"/>
        </w:rPr>
      </w:pPr>
    </w:p>
    <w:p w:rsidR="00625EA7" w:rsidRDefault="00CA54E0" w:rsidP="00CA54E0">
      <w:pPr>
        <w:pStyle w:val="ListeParagraf"/>
        <w:numPr>
          <w:ilvl w:val="0"/>
          <w:numId w:val="2"/>
        </w:numPr>
        <w:jc w:val="both"/>
      </w:pPr>
      <w:r>
        <w:t>Şirket ortağı üniversite tüzel kişiliği olacağı için ortaklık ile ilgili döner sermaye işletmesi tarafından herhangi bir kayıt yapılmayacaktır. Ortaklık ile ilgili hisse oranına göre Üniversite Strateji Geliştirme Dairesi Başkanlığı muhasebe kayıtlarını yapacaktır.</w:t>
      </w:r>
    </w:p>
    <w:sectPr w:rsidR="00625E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90D" w:rsidRDefault="00DC290D" w:rsidP="00CA54E0">
      <w:r>
        <w:separator/>
      </w:r>
    </w:p>
  </w:endnote>
  <w:endnote w:type="continuationSeparator" w:id="0">
    <w:p w:rsidR="00DC290D" w:rsidRDefault="00DC290D" w:rsidP="00CA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90D" w:rsidRDefault="00DC290D" w:rsidP="00CA54E0">
      <w:r>
        <w:separator/>
      </w:r>
    </w:p>
  </w:footnote>
  <w:footnote w:type="continuationSeparator" w:id="0">
    <w:p w:rsidR="00DC290D" w:rsidRDefault="00DC290D" w:rsidP="00CA54E0">
      <w:r>
        <w:continuationSeparator/>
      </w:r>
    </w:p>
  </w:footnote>
  <w:footnote w:id="1">
    <w:p w:rsidR="00CA54E0" w:rsidRPr="009626BB" w:rsidRDefault="00CA54E0" w:rsidP="00CA54E0">
      <w:pPr>
        <w:pStyle w:val="DipnotMetni"/>
      </w:pPr>
      <w:r w:rsidRPr="009626BB">
        <w:rPr>
          <w:rStyle w:val="DipnotBavurusu"/>
        </w:rPr>
        <w:footnoteRef/>
      </w:r>
      <w:r w:rsidRPr="009626BB">
        <w:t xml:space="preserve"> 4691 Sayılı Teknoloji Geliştirme Bölgeleri Kanunu, Mad.5</w:t>
      </w:r>
    </w:p>
  </w:footnote>
  <w:footnote w:id="2">
    <w:p w:rsidR="00CA54E0" w:rsidRDefault="00CA54E0" w:rsidP="00CA54E0">
      <w:pPr>
        <w:pStyle w:val="DipnotMetni"/>
      </w:pPr>
      <w:r>
        <w:rPr>
          <w:rStyle w:val="DipnotBavurusu"/>
        </w:rPr>
        <w:footnoteRef/>
      </w:r>
      <w:r>
        <w:t xml:space="preserve"> </w:t>
      </w:r>
      <w:hyperlink r:id="rId1" w:history="1">
        <w:r w:rsidRPr="005637F7">
          <w:rPr>
            <w:rStyle w:val="Kpr"/>
          </w:rPr>
          <w:t>http://dmisproje.muhasebat.gov.tr/</w:t>
        </w:r>
      </w:hyperlink>
      <w:r>
        <w:t xml:space="preserve"> (E.T. 05.02.2014, 12;46)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C93"/>
    <w:multiLevelType w:val="hybridMultilevel"/>
    <w:tmpl w:val="DEE0E5C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0C34570F"/>
    <w:multiLevelType w:val="hybridMultilevel"/>
    <w:tmpl w:val="FD1CD214"/>
    <w:lvl w:ilvl="0" w:tplc="F31E5DC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39250A9E"/>
    <w:multiLevelType w:val="multilevel"/>
    <w:tmpl w:val="13D89B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1F95F52"/>
    <w:multiLevelType w:val="hybridMultilevel"/>
    <w:tmpl w:val="7F26595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E0"/>
    <w:rsid w:val="00625EA7"/>
    <w:rsid w:val="0075393E"/>
    <w:rsid w:val="008923AA"/>
    <w:rsid w:val="00BE3428"/>
    <w:rsid w:val="00C61ED4"/>
    <w:rsid w:val="00CA54E0"/>
    <w:rsid w:val="00DC290D"/>
    <w:rsid w:val="00EB62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4E0"/>
    <w:pPr>
      <w:widowControl w:val="0"/>
      <w:suppressAutoHyphens/>
      <w:spacing w:after="0" w:line="240" w:lineRule="auto"/>
    </w:pPr>
    <w:rPr>
      <w:rFonts w:ascii="Times New Roman" w:eastAsia="SimSun" w:hAnsi="Times New Roman" w:cs="Tahoma"/>
      <w:sz w:val="24"/>
      <w:szCs w:val="24"/>
      <w:lang w:eastAsia="hi-IN" w:bidi="hi-IN"/>
    </w:rPr>
  </w:style>
  <w:style w:type="paragraph" w:styleId="Balk4">
    <w:name w:val="heading 4"/>
    <w:basedOn w:val="Balk5"/>
    <w:next w:val="Normal"/>
    <w:link w:val="Balk4Char"/>
    <w:uiPriority w:val="99"/>
    <w:qFormat/>
    <w:rsid w:val="00CA54E0"/>
    <w:pPr>
      <w:widowControl/>
      <w:tabs>
        <w:tab w:val="num" w:pos="720"/>
      </w:tabs>
      <w:suppressAutoHyphens w:val="0"/>
      <w:spacing w:before="200"/>
      <w:ind w:left="720" w:hanging="720"/>
      <w:jc w:val="both"/>
      <w:outlineLvl w:val="3"/>
    </w:pPr>
    <w:rPr>
      <w:rFonts w:ascii="Times New Roman" w:eastAsia="Times New Roman" w:hAnsi="Times New Roman" w:cs="Times New Roman"/>
      <w:b/>
      <w:color w:val="auto"/>
      <w:szCs w:val="24"/>
      <w:lang w:eastAsia="tr-TR" w:bidi="ar-SA"/>
    </w:rPr>
  </w:style>
  <w:style w:type="paragraph" w:styleId="Balk5">
    <w:name w:val="heading 5"/>
    <w:basedOn w:val="Normal"/>
    <w:next w:val="Normal"/>
    <w:link w:val="Balk5Char"/>
    <w:uiPriority w:val="9"/>
    <w:semiHidden/>
    <w:unhideWhenUsed/>
    <w:qFormat/>
    <w:rsid w:val="00CA54E0"/>
    <w:pPr>
      <w:keepNext/>
      <w:keepLines/>
      <w:spacing w:before="40"/>
      <w:outlineLvl w:val="4"/>
    </w:pPr>
    <w:rPr>
      <w:rFonts w:asciiTheme="majorHAnsi" w:eastAsiaTheme="majorEastAsia" w:hAnsiTheme="majorHAnsi" w:cs="Mangal"/>
      <w:color w:val="2E74B5" w:themeColor="accent1" w:themeShade="BF"/>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rsid w:val="00CA54E0"/>
    <w:rPr>
      <w:rFonts w:ascii="Times New Roman" w:eastAsia="Times New Roman" w:hAnsi="Times New Roman" w:cs="Times New Roman"/>
      <w:b/>
      <w:sz w:val="24"/>
      <w:szCs w:val="24"/>
      <w:lang w:eastAsia="tr-TR"/>
    </w:rPr>
  </w:style>
  <w:style w:type="character" w:styleId="Kpr">
    <w:name w:val="Hyperlink"/>
    <w:uiPriority w:val="99"/>
    <w:rsid w:val="00CA54E0"/>
    <w:rPr>
      <w:color w:val="0000FF"/>
      <w:u w:val="single"/>
    </w:rPr>
  </w:style>
  <w:style w:type="character" w:styleId="DipnotBavurusu">
    <w:name w:val="footnote reference"/>
    <w:uiPriority w:val="99"/>
    <w:rsid w:val="00CA54E0"/>
    <w:rPr>
      <w:vertAlign w:val="superscript"/>
    </w:rPr>
  </w:style>
  <w:style w:type="paragraph" w:styleId="DipnotMetni">
    <w:name w:val="footnote text"/>
    <w:aliases w:val="Dipnot Metni Char Char Char,Dipnot Metni Char Char,Char1,Char11,Dipnot Metni Char2,Dipnot Metni Char1 Char1,Dipnot Metni Char Char Char1,Dipnot Metni Char1 Char Char Char,Dipnot Metni Char Char Char Char Char"/>
    <w:basedOn w:val="Normal"/>
    <w:link w:val="DipnotMetniChar"/>
    <w:uiPriority w:val="99"/>
    <w:rsid w:val="00CA54E0"/>
    <w:pPr>
      <w:widowControl/>
      <w:suppressAutoHyphens w:val="0"/>
    </w:pPr>
    <w:rPr>
      <w:rFonts w:eastAsia="Times New Roman" w:cs="Times New Roman"/>
      <w:sz w:val="20"/>
      <w:szCs w:val="20"/>
      <w:lang w:eastAsia="tr-TR" w:bidi="ar-SA"/>
    </w:rPr>
  </w:style>
  <w:style w:type="character" w:customStyle="1" w:styleId="DipnotMetniChar">
    <w:name w:val="Dipnot Metni Char"/>
    <w:aliases w:val="Dipnot Metni Char Char Char Char,Dipnot Metni Char Char Char2,Char1 Char,Char11 Char,Dipnot Metni Char2 Char,Dipnot Metni Char1 Char1 Char,Dipnot Metni Char Char Char1 Char,Dipnot Metni Char1 Char Char Char Char"/>
    <w:basedOn w:val="VarsaylanParagrafYazTipi"/>
    <w:link w:val="DipnotMetni"/>
    <w:uiPriority w:val="99"/>
    <w:rsid w:val="00CA54E0"/>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CA54E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character" w:customStyle="1" w:styleId="Balk5Char">
    <w:name w:val="Başlık 5 Char"/>
    <w:basedOn w:val="VarsaylanParagrafYazTipi"/>
    <w:link w:val="Balk5"/>
    <w:uiPriority w:val="9"/>
    <w:semiHidden/>
    <w:rsid w:val="00CA54E0"/>
    <w:rPr>
      <w:rFonts w:asciiTheme="majorHAnsi" w:eastAsiaTheme="majorEastAsia" w:hAnsiTheme="majorHAnsi" w:cs="Mangal"/>
      <w:color w:val="2E74B5" w:themeColor="accent1" w:themeShade="BF"/>
      <w:sz w:val="24"/>
      <w:szCs w:val="21"/>
      <w:lang w:eastAsia="hi-IN" w:bidi="hi-IN"/>
    </w:rPr>
  </w:style>
  <w:style w:type="table" w:styleId="TabloKlavuzu">
    <w:name w:val="Table Grid"/>
    <w:basedOn w:val="NormalTablo"/>
    <w:uiPriority w:val="39"/>
    <w:rsid w:val="00EB6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4E0"/>
    <w:pPr>
      <w:widowControl w:val="0"/>
      <w:suppressAutoHyphens/>
      <w:spacing w:after="0" w:line="240" w:lineRule="auto"/>
    </w:pPr>
    <w:rPr>
      <w:rFonts w:ascii="Times New Roman" w:eastAsia="SimSun" w:hAnsi="Times New Roman" w:cs="Tahoma"/>
      <w:sz w:val="24"/>
      <w:szCs w:val="24"/>
      <w:lang w:eastAsia="hi-IN" w:bidi="hi-IN"/>
    </w:rPr>
  </w:style>
  <w:style w:type="paragraph" w:styleId="Balk4">
    <w:name w:val="heading 4"/>
    <w:basedOn w:val="Balk5"/>
    <w:next w:val="Normal"/>
    <w:link w:val="Balk4Char"/>
    <w:uiPriority w:val="99"/>
    <w:qFormat/>
    <w:rsid w:val="00CA54E0"/>
    <w:pPr>
      <w:widowControl/>
      <w:tabs>
        <w:tab w:val="num" w:pos="720"/>
      </w:tabs>
      <w:suppressAutoHyphens w:val="0"/>
      <w:spacing w:before="200"/>
      <w:ind w:left="720" w:hanging="720"/>
      <w:jc w:val="both"/>
      <w:outlineLvl w:val="3"/>
    </w:pPr>
    <w:rPr>
      <w:rFonts w:ascii="Times New Roman" w:eastAsia="Times New Roman" w:hAnsi="Times New Roman" w:cs="Times New Roman"/>
      <w:b/>
      <w:color w:val="auto"/>
      <w:szCs w:val="24"/>
      <w:lang w:eastAsia="tr-TR" w:bidi="ar-SA"/>
    </w:rPr>
  </w:style>
  <w:style w:type="paragraph" w:styleId="Balk5">
    <w:name w:val="heading 5"/>
    <w:basedOn w:val="Normal"/>
    <w:next w:val="Normal"/>
    <w:link w:val="Balk5Char"/>
    <w:uiPriority w:val="9"/>
    <w:semiHidden/>
    <w:unhideWhenUsed/>
    <w:qFormat/>
    <w:rsid w:val="00CA54E0"/>
    <w:pPr>
      <w:keepNext/>
      <w:keepLines/>
      <w:spacing w:before="40"/>
      <w:outlineLvl w:val="4"/>
    </w:pPr>
    <w:rPr>
      <w:rFonts w:asciiTheme="majorHAnsi" w:eastAsiaTheme="majorEastAsia" w:hAnsiTheme="majorHAnsi" w:cs="Mangal"/>
      <w:color w:val="2E74B5" w:themeColor="accent1" w:themeShade="BF"/>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rsid w:val="00CA54E0"/>
    <w:rPr>
      <w:rFonts w:ascii="Times New Roman" w:eastAsia="Times New Roman" w:hAnsi="Times New Roman" w:cs="Times New Roman"/>
      <w:b/>
      <w:sz w:val="24"/>
      <w:szCs w:val="24"/>
      <w:lang w:eastAsia="tr-TR"/>
    </w:rPr>
  </w:style>
  <w:style w:type="character" w:styleId="Kpr">
    <w:name w:val="Hyperlink"/>
    <w:uiPriority w:val="99"/>
    <w:rsid w:val="00CA54E0"/>
    <w:rPr>
      <w:color w:val="0000FF"/>
      <w:u w:val="single"/>
    </w:rPr>
  </w:style>
  <w:style w:type="character" w:styleId="DipnotBavurusu">
    <w:name w:val="footnote reference"/>
    <w:uiPriority w:val="99"/>
    <w:rsid w:val="00CA54E0"/>
    <w:rPr>
      <w:vertAlign w:val="superscript"/>
    </w:rPr>
  </w:style>
  <w:style w:type="paragraph" w:styleId="DipnotMetni">
    <w:name w:val="footnote text"/>
    <w:aliases w:val="Dipnot Metni Char Char Char,Dipnot Metni Char Char,Char1,Char11,Dipnot Metni Char2,Dipnot Metni Char1 Char1,Dipnot Metni Char Char Char1,Dipnot Metni Char1 Char Char Char,Dipnot Metni Char Char Char Char Char"/>
    <w:basedOn w:val="Normal"/>
    <w:link w:val="DipnotMetniChar"/>
    <w:uiPriority w:val="99"/>
    <w:rsid w:val="00CA54E0"/>
    <w:pPr>
      <w:widowControl/>
      <w:suppressAutoHyphens w:val="0"/>
    </w:pPr>
    <w:rPr>
      <w:rFonts w:eastAsia="Times New Roman" w:cs="Times New Roman"/>
      <w:sz w:val="20"/>
      <w:szCs w:val="20"/>
      <w:lang w:eastAsia="tr-TR" w:bidi="ar-SA"/>
    </w:rPr>
  </w:style>
  <w:style w:type="character" w:customStyle="1" w:styleId="DipnotMetniChar">
    <w:name w:val="Dipnot Metni Char"/>
    <w:aliases w:val="Dipnot Metni Char Char Char Char,Dipnot Metni Char Char Char2,Char1 Char,Char11 Char,Dipnot Metni Char2 Char,Dipnot Metni Char1 Char1 Char,Dipnot Metni Char Char Char1 Char,Dipnot Metni Char1 Char Char Char Char"/>
    <w:basedOn w:val="VarsaylanParagrafYazTipi"/>
    <w:link w:val="DipnotMetni"/>
    <w:uiPriority w:val="99"/>
    <w:rsid w:val="00CA54E0"/>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CA54E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character" w:customStyle="1" w:styleId="Balk5Char">
    <w:name w:val="Başlık 5 Char"/>
    <w:basedOn w:val="VarsaylanParagrafYazTipi"/>
    <w:link w:val="Balk5"/>
    <w:uiPriority w:val="9"/>
    <w:semiHidden/>
    <w:rsid w:val="00CA54E0"/>
    <w:rPr>
      <w:rFonts w:asciiTheme="majorHAnsi" w:eastAsiaTheme="majorEastAsia" w:hAnsiTheme="majorHAnsi" w:cs="Mangal"/>
      <w:color w:val="2E74B5" w:themeColor="accent1" w:themeShade="BF"/>
      <w:sz w:val="24"/>
      <w:szCs w:val="21"/>
      <w:lang w:eastAsia="hi-IN" w:bidi="hi-IN"/>
    </w:rPr>
  </w:style>
  <w:style w:type="table" w:styleId="TabloKlavuzu">
    <w:name w:val="Table Grid"/>
    <w:basedOn w:val="NormalTablo"/>
    <w:uiPriority w:val="39"/>
    <w:rsid w:val="00EB6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misproje.muhasebat.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Suat</dc:creator>
  <cp:lastModifiedBy>Microsoft</cp:lastModifiedBy>
  <cp:revision>2</cp:revision>
  <dcterms:created xsi:type="dcterms:W3CDTF">2021-07-13T09:21:00Z</dcterms:created>
  <dcterms:modified xsi:type="dcterms:W3CDTF">2021-07-13T09:21:00Z</dcterms:modified>
</cp:coreProperties>
</file>